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center"/>
        <w:rPr>
          <w:rFonts w:ascii="Arial" w:hAnsi="Arial"/>
          <w:sz w:val="24"/>
          <w:szCs w:val="24"/>
        </w:rPr>
      </w:pPr>
      <w:r>
        <w:rPr>
          <w:rFonts w:cs="Calibri" w:ascii="Arial" w:hAnsi="Arial"/>
          <w:b/>
          <w:bCs/>
          <w:color w:val="000000"/>
          <w:sz w:val="24"/>
          <w:szCs w:val="24"/>
          <w:u w:val="none"/>
        </w:rPr>
        <w:t xml:space="preserve">Ofício Circular 04/2022 VE/SES </w:t>
        <w:tab/>
        <w:t xml:space="preserve">                     Sorocaba, 21 de  fevereiro de 2022</w:t>
      </w:r>
    </w:p>
    <w:p>
      <w:pPr>
        <w:pStyle w:val="Normal"/>
        <w:spacing w:lineRule="auto" w:line="240"/>
        <w:jc w:val="left"/>
        <w:rPr>
          <w:rFonts w:ascii="Arial" w:hAnsi="Arial"/>
          <w:sz w:val="24"/>
          <w:szCs w:val="24"/>
        </w:rPr>
      </w:pPr>
      <w:r>
        <w:rPr>
          <w:rFonts w:cs="Calibri" w:ascii="Arial" w:hAnsi="Arial"/>
          <w:b/>
          <w:bCs/>
          <w:i/>
          <w:iCs/>
          <w:color w:val="000000"/>
          <w:sz w:val="24"/>
          <w:szCs w:val="24"/>
          <w:u w:val="none"/>
        </w:rPr>
        <w:t xml:space="preserve">Ref.: Atualização para dispensação de PALIVIZUMABE </w:t>
      </w:r>
    </w:p>
    <w:p>
      <w:pPr>
        <w:pStyle w:val="Normal"/>
        <w:spacing w:lineRule="auto" w:line="240"/>
        <w:jc w:val="left"/>
        <w:rPr>
          <w:rFonts w:cs="Calibri"/>
          <w:b/>
          <w:b/>
          <w:bCs/>
          <w:i/>
          <w:i/>
          <w:iCs/>
          <w:color w:val="000000"/>
          <w:u w:val="none"/>
        </w:rPr>
      </w:pPr>
      <w:r>
        <w:rPr>
          <w:rFonts w:cs="Calibri"/>
          <w:b/>
          <w:bCs/>
          <w:i/>
          <w:iCs/>
          <w:color w:val="000000"/>
          <w:u w:val="none"/>
        </w:rPr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b/>
          <w:bCs/>
          <w:i/>
          <w:iCs/>
          <w:color w:val="000000"/>
          <w:sz w:val="24"/>
          <w:szCs w:val="24"/>
          <w:u w:val="none"/>
        </w:rPr>
        <w:t xml:space="preserve">O uso do Palivizumabe é uma medida preventiva, em que a utilização de anticorpo monoclonal tem </w:t>
      </w:r>
      <w:r>
        <w:rPr>
          <w:rFonts w:ascii="Arial" w:hAnsi="Arial"/>
          <w:sz w:val="24"/>
          <w:szCs w:val="24"/>
        </w:rPr>
        <w:t>mostrado tratamento eficaz na prevenção das doenças graves pelo VSR, por apresentar atividade neutralizante e inibitória da fusão contra este vírus, reduzindo a taxa de hospitalização relacionada à infecção gerada por ele. Embora o palivizumabe não se trate de uma vacina, a imunização passiva pode ser obtida com a sua utilização.</w:t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A aplicação do palivizumabe no Estado de São Paulo está de acordo com os critérios técnicos e com o período de sazonalidade, que compreende os meses de março a julho de cada ano, e, deve ocorrer um mês antes do início sazonal. O número de doses recebidas, por cada criança, se atrela ao início da aplicação e perfaz no máximo um total de 5 doses no período sazonal ( de fevereiro a junho). </w:t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  <w:u w:val="single"/>
        </w:rPr>
      </w:pPr>
      <w:r>
        <w:rPr>
          <w:rFonts w:ascii="Arial" w:hAnsi="Arial"/>
          <w:sz w:val="24"/>
          <w:szCs w:val="24"/>
          <w:u w:val="single"/>
        </w:rPr>
        <w:t>1. Prescrição do Palivizumabe:</w:t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 prescrição, orientação e supervisão do medicamento Palivizumabe, bem como, a indicação da administração de acordo com os critérios estabelecidos nesta nota técnica é de inteira responsabilidade do médico assistente que acompanha a criança.Os critérios de inclusão estabelecidos seguem a Portaria Conjunta SAS-SCTIE/MS n°23, de 23/10/18:</w:t>
      </w:r>
    </w:p>
    <w:p>
      <w:pPr>
        <w:pStyle w:val="Normal"/>
        <w:spacing w:lineRule="auto" w:line="276" w:before="0" w:after="29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· Crianças prematuras nascidas com idade gestacional ≤ 28 semanas (até 28</w:t>
      </w:r>
    </w:p>
    <w:p>
      <w:pPr>
        <w:pStyle w:val="Normal"/>
        <w:spacing w:lineRule="auto" w:line="276" w:before="0" w:after="29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semanas e 6 dias) com idade inferior a 1 ano (até 11 meses e 29 dias).</w:t>
      </w:r>
    </w:p>
    <w:p>
      <w:pPr>
        <w:pStyle w:val="Normal"/>
        <w:spacing w:lineRule="auto" w:line="276" w:before="0" w:after="29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· Crianças com idade inferior a 2 anos (até 1 ano, 11 meses e 29 dias) com doença</w:t>
      </w:r>
    </w:p>
    <w:p>
      <w:pPr>
        <w:pStyle w:val="Normal"/>
        <w:spacing w:lineRule="auto" w:line="276" w:before="0" w:after="29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pulmonar crônica da prematuridade, displasia bronco pulmonar, ou doença cardíaca</w:t>
      </w:r>
    </w:p>
    <w:p>
      <w:pPr>
        <w:pStyle w:val="Normal"/>
        <w:spacing w:lineRule="auto" w:line="276" w:before="0" w:after="29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congênita com repercussão hemodinâmica demonstrada.</w:t>
      </w:r>
    </w:p>
    <w:p>
      <w:pPr>
        <w:pStyle w:val="Normal"/>
        <w:spacing w:lineRule="auto" w:line="276" w:before="0" w:after="29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Inclusive para as crianças que se encontram internadas e neste caso, a administração deverá</w:t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 prescrição pode ocorrer em ambiente hospitalar e respeitado o intervalo de doses subsequentes intra-hospitalar e pós-alta hospitalar. Em caso de pós-alta hospitalar, os profissionais deverão providenciar a prescrição, anotar a dose aplicada na caderneta da criança e orientar por escrito a aplicação das doses subsequentes com intervalo de 30 dias no total de até 5 doses, sem ultrapassar o período da sazonalidade do VSR.</w:t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Em recém-nascidos (RN) internados, que preencham o critério de uso, a aplicação poderá ser</w:t>
      </w:r>
      <w:r>
        <w:rPr>
          <w:rFonts w:ascii="Arial" w:hAnsi="Arial"/>
          <w:b w:val="false"/>
          <w:bCs w:val="false"/>
          <w:sz w:val="24"/>
          <w:szCs w:val="24"/>
        </w:rPr>
        <w:t xml:space="preserve"> iniciada a partir de 7 (sete) dias de vida, desde que observada a estabilidade clínica do paciente.</w:t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  <w:u w:val="single"/>
        </w:rPr>
      </w:pPr>
      <w:r>
        <w:rPr>
          <w:rFonts w:ascii="Arial" w:hAnsi="Arial"/>
          <w:b w:val="false"/>
          <w:bCs w:val="false"/>
          <w:sz w:val="24"/>
          <w:szCs w:val="24"/>
          <w:u w:val="single"/>
        </w:rPr>
        <w:t>2. Período para envio de documentação e recebimento dos documentos:</w:t>
      </w:r>
    </w:p>
    <w:p>
      <w:pPr>
        <w:pStyle w:val="Normal"/>
        <w:numPr>
          <w:ilvl w:val="0"/>
          <w:numId w:val="1"/>
        </w:numPr>
        <w:spacing w:lineRule="auto" w:line="276" w:before="0" w:after="86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 </w:t>
      </w:r>
      <w:r>
        <w:rPr>
          <w:rFonts w:ascii="Arial" w:hAnsi="Arial"/>
          <w:b w:val="false"/>
          <w:bCs w:val="false"/>
          <w:sz w:val="24"/>
          <w:szCs w:val="24"/>
        </w:rPr>
        <w:t xml:space="preserve">Período de recebimento dos documentos para solicitação do palivizumabe: 17/01/2022 a 15/07/2022. </w:t>
      </w:r>
    </w:p>
    <w:p>
      <w:pPr>
        <w:pStyle w:val="Normal"/>
        <w:numPr>
          <w:ilvl w:val="0"/>
          <w:numId w:val="1"/>
        </w:numPr>
        <w:spacing w:lineRule="auto" w:line="276" w:before="0" w:after="86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Período de aplicação do palivizumabe: 01/02/2022 a 31/07/2022 </w:t>
      </w:r>
    </w:p>
    <w:p>
      <w:pPr>
        <w:pStyle w:val="Normal"/>
        <w:numPr>
          <w:ilvl w:val="0"/>
          <w:numId w:val="1"/>
        </w:numPr>
        <w:spacing w:lineRule="auto" w:line="276" w:before="0" w:after="86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  <w:u w:val="single"/>
        </w:rPr>
      </w:pPr>
      <w:r>
        <w:rPr>
          <w:rFonts w:ascii="Arial" w:hAnsi="Arial"/>
          <w:b w:val="false"/>
          <w:bCs w:val="false"/>
          <w:sz w:val="24"/>
          <w:szCs w:val="24"/>
          <w:u w:val="single"/>
        </w:rPr>
        <w:t>3. Documentos necessários para a solicitação:</w:t>
      </w:r>
    </w:p>
    <w:p>
      <w:pPr>
        <w:pStyle w:val="Normal"/>
        <w:numPr>
          <w:ilvl w:val="0"/>
          <w:numId w:val="2"/>
        </w:numPr>
        <w:spacing w:lineRule="auto" w:line="276" w:before="0" w:after="86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Formulário de Solicitação de Palivizumabe original, preenchido de forma completa e legível pelo médico responsável pelo atendimento ao paciente (sugere-se pelo menos dois telefones de contato).</w:t>
      </w:r>
    </w:p>
    <w:p>
      <w:pPr>
        <w:pStyle w:val="Normal"/>
        <w:spacing w:lineRule="auto" w:line="276" w:before="0" w:after="86"/>
        <w:jc w:val="left"/>
        <w:rPr/>
      </w:pPr>
      <w:r>
        <w:rPr>
          <w:rStyle w:val="LinkdaInternet"/>
          <w:rFonts w:ascii="Arial" w:hAnsi="Arial"/>
          <w:sz w:val="24"/>
          <w:szCs w:val="24"/>
        </w:rPr>
        <w:t>https://www.saude.sp.gov.br/resources/ses/perfil/gestor/assistencia-farmaceutica/medicamentos-dos-componentes-da-assistencia-farmaceutica/medicamentos-do-componente-estrategico-da-assistencia-farmaceutica/formulario_de_solicitacao_de_palivizumabe_v2.pdf</w:t>
      </w:r>
    </w:p>
    <w:p>
      <w:pPr>
        <w:pStyle w:val="Normal"/>
        <w:spacing w:lineRule="auto" w:line="276" w:before="0" w:after="86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numPr>
          <w:ilvl w:val="0"/>
          <w:numId w:val="3"/>
        </w:numPr>
        <w:spacing w:lineRule="auto" w:line="276" w:before="0" w:after="86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Prescrição de medicamento original, em duas vias, elaborada de forma completa e legível, pelo médico responsável pelo atendimento ao paciente. </w:t>
      </w:r>
    </w:p>
    <w:p>
      <w:pPr>
        <w:pStyle w:val="Normal"/>
        <w:numPr>
          <w:ilvl w:val="0"/>
          <w:numId w:val="3"/>
        </w:numPr>
        <w:spacing w:lineRule="auto" w:line="276" w:before="0" w:after="86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Cópia de documentos pessoais do paciente </w:t>
      </w:r>
    </w:p>
    <w:p>
      <w:pPr>
        <w:pStyle w:val="Normal"/>
        <w:numPr>
          <w:ilvl w:val="1"/>
          <w:numId w:val="3"/>
        </w:numPr>
        <w:spacing w:lineRule="auto" w:line="276" w:before="0" w:after="86"/>
        <w:jc w:val="left"/>
        <w:rPr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Certidão de nascimento ou Declaração de Nascido Vivo (DNV); </w:t>
      </w:r>
    </w:p>
    <w:p>
      <w:pPr>
        <w:pStyle w:val="Normal"/>
        <w:numPr>
          <w:ilvl w:val="1"/>
          <w:numId w:val="3"/>
        </w:numPr>
        <w:spacing w:lineRule="auto" w:line="276" w:before="0" w:after="86"/>
        <w:jc w:val="left"/>
        <w:rPr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Comprovante de residência com CEP, com data inferior a 90 dias; </w:t>
      </w:r>
    </w:p>
    <w:p>
      <w:pPr>
        <w:pStyle w:val="Normal"/>
        <w:numPr>
          <w:ilvl w:val="1"/>
          <w:numId w:val="3"/>
        </w:numPr>
        <w:spacing w:lineRule="auto" w:line="276" w:before="0" w:after="86"/>
        <w:jc w:val="left"/>
        <w:rPr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Cartão Nacional de Saúde (CNS). </w:t>
      </w:r>
    </w:p>
    <w:p>
      <w:pPr>
        <w:pStyle w:val="Normal"/>
        <w:numPr>
          <w:ilvl w:val="0"/>
          <w:numId w:val="3"/>
        </w:numPr>
        <w:spacing w:lineRule="auto" w:line="276" w:before="0" w:after="86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Cópia de relatório resumido de alta hospitalar da criança, fornecido pelo hospital. </w:t>
      </w:r>
    </w:p>
    <w:p>
      <w:pPr>
        <w:pStyle w:val="Normal"/>
        <w:spacing w:lineRule="auto" w:line="276" w:before="0" w:after="8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 w:before="0" w:after="86"/>
        <w:jc w:val="both"/>
        <w:rPr>
          <w:rFonts w:ascii="Arial" w:hAnsi="Arial"/>
          <w:b w:val="false"/>
          <w:b w:val="false"/>
          <w:bCs w:val="false"/>
          <w:i/>
          <w:i/>
          <w:iCs/>
          <w:sz w:val="24"/>
          <w:szCs w:val="24"/>
          <w:u w:val="none"/>
        </w:rPr>
      </w:pPr>
      <w:r>
        <w:rPr>
          <w:rFonts w:ascii="Arial" w:hAnsi="Arial"/>
          <w:b w:val="false"/>
          <w:bCs w:val="false"/>
          <w:i/>
          <w:iCs/>
          <w:sz w:val="24"/>
          <w:szCs w:val="24"/>
          <w:u w:val="none"/>
        </w:rPr>
        <w:t>Para pacientes portadores de prematuridade E com doenças pulmonares relacionadas à prematuridade:</w:t>
      </w:r>
    </w:p>
    <w:p>
      <w:pPr>
        <w:pStyle w:val="Normal"/>
        <w:numPr>
          <w:ilvl w:val="0"/>
          <w:numId w:val="4"/>
        </w:numPr>
        <w:spacing w:lineRule="auto" w:line="276" w:before="0" w:after="8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Relatório médico com data inferior a 180 dias, elaborado pelo médico responsável pelo atendimento ao paciente; </w:t>
      </w:r>
    </w:p>
    <w:p>
      <w:pPr>
        <w:pStyle w:val="Normal"/>
        <w:numPr>
          <w:ilvl w:val="0"/>
          <w:numId w:val="4"/>
        </w:numPr>
        <w:spacing w:lineRule="auto" w:line="276" w:before="0" w:after="8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Cópia de relatório de alta hospitalar do paciente, após internação por problemas respiratórios nos últimos 6 meses (se internação). </w:t>
      </w:r>
    </w:p>
    <w:p>
      <w:pPr>
        <w:pStyle w:val="Normal"/>
        <w:numPr>
          <w:ilvl w:val="0"/>
          <w:numId w:val="4"/>
        </w:numPr>
        <w:spacing w:lineRule="auto" w:line="276" w:before="0" w:after="8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 critério do médico prescritor: Cópia do laudo da tomografia de tórax.</w:t>
      </w:r>
    </w:p>
    <w:p>
      <w:pPr>
        <w:pStyle w:val="Normal"/>
        <w:numPr>
          <w:ilvl w:val="0"/>
          <w:numId w:val="0"/>
        </w:numPr>
        <w:spacing w:lineRule="auto" w:line="276" w:before="0" w:after="86"/>
        <w:ind w:left="72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 w:before="0" w:after="86"/>
        <w:jc w:val="both"/>
        <w:rPr>
          <w:rFonts w:ascii="Arial" w:hAnsi="Arial"/>
          <w:b w:val="false"/>
          <w:b w:val="false"/>
          <w:bCs w:val="false"/>
          <w:sz w:val="24"/>
          <w:szCs w:val="24"/>
          <w:u w:val="single"/>
        </w:rPr>
      </w:pPr>
      <w:r>
        <w:rPr>
          <w:rFonts w:ascii="Arial" w:hAnsi="Arial"/>
          <w:b w:val="false"/>
          <w:bCs w:val="false"/>
          <w:sz w:val="24"/>
          <w:szCs w:val="24"/>
          <w:u w:val="single"/>
        </w:rPr>
      </w:r>
    </w:p>
    <w:p>
      <w:pPr>
        <w:pStyle w:val="Normal"/>
        <w:spacing w:lineRule="auto" w:line="276" w:before="0" w:after="86"/>
        <w:jc w:val="both"/>
        <w:rPr>
          <w:rFonts w:ascii="Arial" w:hAnsi="Arial"/>
          <w:b w:val="false"/>
          <w:b w:val="false"/>
          <w:bCs w:val="false"/>
          <w:i/>
          <w:i/>
          <w:iCs/>
          <w:sz w:val="24"/>
          <w:szCs w:val="24"/>
          <w:u w:val="none"/>
        </w:rPr>
      </w:pPr>
      <w:r>
        <w:rPr>
          <w:rFonts w:ascii="Arial" w:hAnsi="Arial"/>
          <w:b w:val="false"/>
          <w:bCs w:val="false"/>
          <w:i/>
          <w:iCs/>
          <w:sz w:val="24"/>
          <w:szCs w:val="24"/>
          <w:u w:val="none"/>
        </w:rPr>
        <w:t>Para pacientes portadores de cardiopatia</w:t>
      </w:r>
    </w:p>
    <w:p>
      <w:pPr>
        <w:pStyle w:val="Normal"/>
        <w:spacing w:lineRule="auto" w:line="276" w:before="0" w:after="86"/>
        <w:jc w:val="both"/>
        <w:rPr>
          <w:rFonts w:ascii="Arial" w:hAnsi="Arial"/>
          <w:b w:val="false"/>
          <w:b w:val="false"/>
          <w:bCs w:val="false"/>
          <w:i/>
          <w:i/>
          <w:iCs/>
          <w:sz w:val="24"/>
          <w:szCs w:val="24"/>
          <w:u w:val="none"/>
        </w:rPr>
      </w:pPr>
      <w:r>
        <w:rPr>
          <w:rFonts w:ascii="Arial" w:hAnsi="Arial"/>
          <w:b w:val="false"/>
          <w:bCs w:val="false"/>
          <w:i/>
          <w:iCs/>
          <w:sz w:val="24"/>
          <w:szCs w:val="24"/>
          <w:u w:val="none"/>
        </w:rPr>
        <w:t>Pacientes não submetidos à cirurgia cardíaca</w:t>
      </w:r>
    </w:p>
    <w:p>
      <w:pPr>
        <w:pStyle w:val="Normal"/>
        <w:numPr>
          <w:ilvl w:val="0"/>
          <w:numId w:val="5"/>
        </w:numPr>
        <w:spacing w:lineRule="auto" w:line="276" w:before="0" w:after="8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Relatório médico com data inferior a 180 dias, elaborado pelo médico responsável pelo atendimento ao paciente, contendo a descrição do quadro clínico, o grau de hipertensão pulmonar e os medicamentos em uso; </w:t>
      </w:r>
    </w:p>
    <w:p>
      <w:pPr>
        <w:pStyle w:val="Normal"/>
        <w:numPr>
          <w:ilvl w:val="0"/>
          <w:numId w:val="5"/>
        </w:numPr>
        <w:spacing w:lineRule="auto" w:line="276" w:before="0" w:after="8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Cópia do laudo do ecocardiograma mais recente. </w:t>
      </w:r>
    </w:p>
    <w:p>
      <w:pPr>
        <w:pStyle w:val="Normal"/>
        <w:numPr>
          <w:ilvl w:val="0"/>
          <w:numId w:val="0"/>
        </w:numPr>
        <w:spacing w:lineRule="auto" w:line="276" w:before="0" w:after="86"/>
        <w:ind w:left="72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 w:before="0" w:after="86"/>
        <w:jc w:val="both"/>
        <w:rPr>
          <w:rFonts w:ascii="Arial" w:hAnsi="Arial"/>
          <w:b w:val="false"/>
          <w:b w:val="false"/>
          <w:bCs w:val="false"/>
          <w:i/>
          <w:i/>
          <w:iCs/>
          <w:sz w:val="24"/>
          <w:szCs w:val="24"/>
          <w:u w:val="none"/>
        </w:rPr>
      </w:pPr>
      <w:r>
        <w:rPr>
          <w:rFonts w:ascii="Arial" w:hAnsi="Arial"/>
          <w:b w:val="false"/>
          <w:bCs w:val="false"/>
          <w:i/>
          <w:iCs/>
          <w:sz w:val="24"/>
          <w:szCs w:val="24"/>
          <w:u w:val="none"/>
        </w:rPr>
        <w:t xml:space="preserve">Pacientes submetidos à cirurgia cardíaca: </w:t>
      </w:r>
    </w:p>
    <w:p>
      <w:pPr>
        <w:pStyle w:val="Normal"/>
        <w:numPr>
          <w:ilvl w:val="0"/>
          <w:numId w:val="5"/>
        </w:numPr>
        <w:spacing w:lineRule="auto" w:line="276" w:before="0" w:after="8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Relatório médico com data inferior a 180 dias, elaborado pelo médico responsável pelo atendimento ao paciente, contendo a descrição do quadro clínico, o grau de hipertensão pulmonar e os medicamentos em uso; </w:t>
      </w:r>
    </w:p>
    <w:p>
      <w:pPr>
        <w:pStyle w:val="Normal"/>
        <w:numPr>
          <w:ilvl w:val="0"/>
          <w:numId w:val="5"/>
        </w:numPr>
        <w:spacing w:lineRule="auto" w:line="276" w:before="0" w:after="8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Cópia de relatório de alta hospitalar do paciente, após a cirurgia; </w:t>
      </w:r>
    </w:p>
    <w:p>
      <w:pPr>
        <w:pStyle w:val="Normal"/>
        <w:numPr>
          <w:ilvl w:val="0"/>
          <w:numId w:val="5"/>
        </w:numPr>
        <w:spacing w:lineRule="auto" w:line="276" w:before="0" w:after="8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Cópia do laudo do ecocardiograma mais recente, realizado após a cirurgia. </w:t>
      </w:r>
    </w:p>
    <w:p>
      <w:pPr>
        <w:pStyle w:val="Normal"/>
        <w:spacing w:lineRule="auto" w:line="276" w:before="0" w:after="8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 w:before="0" w:after="8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 Unidade Básica de Saúde deverá providenciar a documentação e enviar para a Vigilância Epidemiológica de Sorocaba  (SALA DE VACINAS) para análise.</w:t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Após análise da solicitação a Vigilância Epidemiológica enviará os documentos para a Farmácia de Alto Custo do Conjunto Hospitalar de Sorocaba (CHS).</w:t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 Farmácia encaminhará o processo para a GVE e para o Núcleo de Vigilância Epidemiológica (NVE) do CHS. O local para aplicação será o NVE – CHS, que fará o contato com o responsável pela criança, agendando as datas.</w:t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Referências: </w:t>
      </w:r>
    </w:p>
    <w:p>
      <w:pPr>
        <w:pStyle w:val="Normal"/>
        <w:numPr>
          <w:ilvl w:val="0"/>
          <w:numId w:val="6"/>
        </w:numPr>
        <w:spacing w:lineRule="auto" w:line="276"/>
        <w:jc w:val="both"/>
        <w:rPr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  <w:sz w:val="22"/>
          <w:szCs w:val="24"/>
        </w:rPr>
        <w:t>Deliberação CIB nº 55, 25-05-2021</w:t>
      </w:r>
    </w:p>
    <w:p>
      <w:pPr>
        <w:pStyle w:val="Normal"/>
        <w:numPr>
          <w:ilvl w:val="0"/>
          <w:numId w:val="6"/>
        </w:numPr>
        <w:spacing w:lineRule="auto" w:line="276"/>
        <w:jc w:val="both"/>
        <w:rPr/>
      </w:pPr>
      <w:r>
        <w:rPr>
          <w:rStyle w:val="LinkdaInternet"/>
          <w:rFonts w:ascii="Arial" w:hAnsi="Arial"/>
          <w:b w:val="false"/>
          <w:bCs w:val="false"/>
          <w:sz w:val="22"/>
          <w:szCs w:val="24"/>
        </w:rPr>
        <w:t>https://www.saude.sp.gov.br/resources/ses/perfil/gestor/assistencia-farmaceutica/protocolos-e-normas-tecnicas-estaduais/guia_palivizumabe_word_v25.pdf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</w:r>
    </w:p>
    <w:p>
      <w:pPr>
        <w:pStyle w:val="Normal"/>
        <w:spacing w:lineRule="auto" w:line="276"/>
        <w:jc w:val="right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</w:r>
    </w:p>
    <w:p>
      <w:pPr>
        <w:pStyle w:val="Normal"/>
        <w:spacing w:lineRule="auto" w:line="276"/>
        <w:jc w:val="left"/>
        <w:rPr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  <w:i/>
          <w:color w:val="00000A"/>
          <w:sz w:val="22"/>
          <w:szCs w:val="24"/>
        </w:rPr>
        <w:tab/>
        <w:tab/>
        <w:tab/>
        <w:tab/>
        <w:t xml:space="preserve">  </w:t>
      </w:r>
      <w:r>
        <w:rPr>
          <w:rFonts w:ascii="Arial-ItalicMT" w:hAnsi="Arial-ItalicMT"/>
          <w:b w:val="false"/>
          <w:bCs w:val="false"/>
          <w:i/>
          <w:color w:val="00000A"/>
          <w:sz w:val="24"/>
          <w:szCs w:val="24"/>
        </w:rPr>
        <w:t>Juliana Dias Mome</w:t>
      </w:r>
    </w:p>
    <w:p>
      <w:pPr>
        <w:pStyle w:val="Normal"/>
        <w:spacing w:lineRule="auto" w:line="276" w:before="0" w:after="200"/>
        <w:jc w:val="right"/>
        <w:rPr>
          <w:b w:val="false"/>
          <w:b w:val="false"/>
          <w:bCs w:val="false"/>
        </w:rPr>
      </w:pPr>
      <w:r>
        <w:rPr>
          <w:rFonts w:ascii="Arial-ItalicMT" w:hAnsi="Arial-ItalicMT"/>
          <w:b w:val="false"/>
          <w:bCs w:val="false"/>
          <w:i/>
          <w:color w:val="00000A"/>
          <w:sz w:val="24"/>
        </w:rPr>
        <w:t>Chefe de Divisão da Vigilância Epidemiológica Municipal</w:t>
      </w:r>
    </w:p>
    <w:sectPr>
      <w:headerReference w:type="default" r:id="rId2"/>
      <w:footerReference w:type="default" r:id="rId3"/>
      <w:type w:val="nextPage"/>
      <w:pgSz w:w="11906" w:h="16838"/>
      <w:pgMar w:left="1500" w:right="1391" w:header="709" w:top="1670" w:footer="1143" w:bottom="127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Fira Sans Book">
    <w:charset w:val="00"/>
    <w:family w:val="roman"/>
    <w:pitch w:val="variable"/>
  </w:font>
  <w:font w:name="Fira Sans SemiBol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Verdana">
    <w:charset w:val="00"/>
    <w:family w:val="roman"/>
    <w:pitch w:val="variable"/>
  </w:font>
  <w:font w:name="Arial-ItalicMT">
    <w:charset w:val="00"/>
    <w:family w:val="roman"/>
    <w:pitch w:val="variable"/>
  </w:font>
  <w:font w:name="OpenSymbol">
    <w:altName w:val="Arial Unicode MS"/>
    <w:charset w:val="01"/>
    <w:family w:val="auto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Yiv803907752msonormal"/>
      <w:spacing w:before="0" w:after="0"/>
      <w:jc w:val="center"/>
      <w:rPr>
        <w:rFonts w:ascii="Calibri" w:hAnsi="Calibri" w:cs="Calibri"/>
        <w:b/>
        <w:b/>
        <w:color w:val="000000"/>
        <w:sz w:val="20"/>
        <w:szCs w:val="20"/>
        <w:lang w:val="pt-BR" w:eastAsia="pt-BR"/>
      </w:rPr>
    </w:pPr>
    <w:r>
      <w:rPr>
        <w:rFonts w:cs="Calibri" w:ascii="Calibri" w:hAnsi="Calibri"/>
        <w:b/>
        <w:color w:val="000000"/>
        <w:sz w:val="20"/>
        <w:szCs w:val="20"/>
        <w:lang w:val="pt-BR" w:eastAsia="pt-BR"/>
      </w:rPr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9525</wp:posOffset>
          </wp:positionH>
          <wp:positionV relativeFrom="paragraph">
            <wp:posOffset>64770</wp:posOffset>
          </wp:positionV>
          <wp:extent cx="5710555" cy="15875"/>
          <wp:effectExtent l="0" t="0" r="0" b="0"/>
          <wp:wrapNone/>
          <wp:docPr id="5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6" t="-11321" r="-36" b="-11321"/>
                  <a:stretch>
                    <a:fillRect/>
                  </a:stretch>
                </pic:blipFill>
                <pic:spPr bwMode="auto">
                  <a:xfrm>
                    <a:off x="0" y="0"/>
                    <a:ext cx="5710555" cy="15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16">
          <wp:simplePos x="0" y="0"/>
          <wp:positionH relativeFrom="column">
            <wp:posOffset>1362075</wp:posOffset>
          </wp:positionH>
          <wp:positionV relativeFrom="paragraph">
            <wp:posOffset>128905</wp:posOffset>
          </wp:positionV>
          <wp:extent cx="3176905" cy="772795"/>
          <wp:effectExtent l="0" t="0" r="0" b="0"/>
          <wp:wrapNone/>
          <wp:docPr id="6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30" t="-106" r="-30" b="-106"/>
                  <a:stretch>
                    <a:fillRect/>
                  </a:stretch>
                </pic:blipFill>
                <pic:spPr bwMode="auto">
                  <a:xfrm>
                    <a:off x="0" y="0"/>
                    <a:ext cx="3176905" cy="772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Yiv803907752msonormal"/>
      <w:spacing w:before="0" w:after="0"/>
      <w:jc w:val="center"/>
      <w:rPr>
        <w:rFonts w:ascii="Calibri" w:hAnsi="Calibri" w:cs="Calibri"/>
        <w:b/>
        <w:b/>
        <w:color w:val="000000"/>
        <w:sz w:val="20"/>
        <w:szCs w:val="20"/>
        <w:lang w:val="pt-BR" w:eastAsia="pt-BR"/>
      </w:rPr>
    </w:pPr>
    <w:r>
      <w:rPr>
        <w:rFonts w:cs="Calibri" w:ascii="Calibri" w:hAnsi="Calibri"/>
        <w:b/>
        <w:color w:val="000000"/>
        <w:sz w:val="20"/>
        <w:szCs w:val="20"/>
        <w:lang w:val="pt-BR" w:eastAsia="pt-BR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spacing w:lineRule="atLeast" w:line="120"/>
      <w:jc w:val="both"/>
      <w:rPr>
        <w:rFonts w:ascii="Arial" w:hAnsi="Arial"/>
        <w:sz w:val="24"/>
        <w:szCs w:val="24"/>
      </w:rPr>
    </w:pPr>
    <w:r>
      <mc:AlternateContent>
        <mc:Choice Requires="wps">
          <w:drawing>
            <wp:anchor behindDoc="1" distT="45720" distB="45720" distL="114935" distR="114935" simplePos="0" locked="0" layoutInCell="0" allowOverlap="1" relativeHeight="4">
              <wp:simplePos x="0" y="0"/>
              <wp:positionH relativeFrom="margin">
                <wp:posOffset>2536825</wp:posOffset>
              </wp:positionH>
              <wp:positionV relativeFrom="paragraph">
                <wp:posOffset>118110</wp:posOffset>
              </wp:positionV>
              <wp:extent cx="3054985" cy="320040"/>
              <wp:effectExtent l="0" t="0" r="0" b="0"/>
              <wp:wrapSquare wrapText="bothSides"/>
              <wp:docPr id="1" name="Quadro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4240" cy="319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widowControl w:val="false"/>
                            <w:spacing w:lineRule="auto" w:line="240" w:before="0" w:after="200"/>
                            <w:jc w:val="center"/>
                            <w:rPr/>
                          </w:pPr>
                          <w:r>
                            <w:rPr>
                              <w:b/>
                              <w:color w:val="595959"/>
                              <w:sz w:val="28"/>
                              <w:szCs w:val="24"/>
                            </w:rPr>
                            <w:t xml:space="preserve">Secretaria da Saúde </w:t>
                          </w:r>
                        </w:p>
                      </w:txbxContent>
                    </wps:txbx>
                    <wps:bodyPr lIns="4320" rIns="4320" tIns="4320" bIns="43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1" stroked="f" style="position:absolute;margin-left:199.75pt;margin-top:9.3pt;width:240.45pt;height:25.1pt;mso-wrap-style:square;v-text-anchor:top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Normal"/>
                      <w:widowControl w:val="false"/>
                      <w:spacing w:lineRule="auto" w:line="240" w:before="0" w:after="200"/>
                      <w:jc w:val="center"/>
                      <w:rPr/>
                    </w:pPr>
                    <w:r>
                      <w:rPr>
                        <w:b/>
                        <w:color w:val="595959"/>
                        <w:sz w:val="28"/>
                        <w:szCs w:val="24"/>
                      </w:rPr>
                      <w:t xml:space="preserve">Secretaria da Saúde </w:t>
                    </w:r>
                  </w:p>
                </w:txbxContent>
              </v:textbox>
              <w10:wrap type="square"/>
            </v:rect>
          </w:pict>
        </mc:Fallback>
      </mc:AlternateContent>
      <w:drawing>
        <wp:anchor behindDoc="1" distT="0" distB="0" distL="0" distR="0" simplePos="0" locked="0" layoutInCell="0" allowOverlap="1" relativeHeight="13">
          <wp:simplePos x="0" y="0"/>
          <wp:positionH relativeFrom="column">
            <wp:posOffset>120650</wp:posOffset>
          </wp:positionH>
          <wp:positionV relativeFrom="paragraph">
            <wp:posOffset>-70485</wp:posOffset>
          </wp:positionV>
          <wp:extent cx="1435100" cy="484505"/>
          <wp:effectExtent l="0" t="0" r="0" b="0"/>
          <wp:wrapNone/>
          <wp:docPr id="3" name="Figura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36" t="-691" r="-236" b="-691"/>
                  <a:stretch>
                    <a:fillRect/>
                  </a:stretch>
                </pic:blipFill>
                <pic:spPr bwMode="auto">
                  <a:xfrm>
                    <a:off x="0" y="0"/>
                    <a:ext cx="1435100" cy="484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sz w:val="24"/>
        <w:szCs w:val="24"/>
      </w:rPr>
      <w:t xml:space="preserve">                      </w:t>
    </w:r>
  </w:p>
  <w:p>
    <w:pPr>
      <w:pStyle w:val="Cabealho"/>
      <w:jc w:val="both"/>
      <w:rPr>
        <w:rFonts w:ascii="Arial" w:hAnsi="Arial"/>
        <w:i/>
        <w:i/>
        <w:sz w:val="24"/>
        <w:szCs w:val="24"/>
        <w:lang w:val="pt-BR" w:eastAsia="pt-BR"/>
      </w:rPr>
    </w:pPr>
    <w:r>
      <w:rPr>
        <w:rFonts w:ascii="Arial" w:hAnsi="Arial"/>
        <w:i/>
        <w:sz w:val="24"/>
        <w:szCs w:val="24"/>
        <w:lang w:val="pt-BR" w:eastAsia="pt-BR"/>
      </w:rPr>
      <w:drawing>
        <wp:anchor behindDoc="1" distT="0" distB="0" distL="0" distR="0" simplePos="0" locked="0" layoutInCell="0" allowOverlap="1" relativeHeight="10">
          <wp:simplePos x="0" y="0"/>
          <wp:positionH relativeFrom="column">
            <wp:posOffset>-952500</wp:posOffset>
          </wp:positionH>
          <wp:positionV relativeFrom="paragraph">
            <wp:posOffset>327025</wp:posOffset>
          </wp:positionV>
          <wp:extent cx="6676390" cy="18415"/>
          <wp:effectExtent l="0" t="0" r="0" b="0"/>
          <wp:wrapNone/>
          <wp:docPr id="4" name="Figura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4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36" t="-11321" r="-36" b="-11321"/>
                  <a:stretch>
                    <a:fillRect/>
                  </a:stretch>
                </pic:blipFill>
                <pic:spPr bwMode="auto">
                  <a:xfrm>
                    <a:off x="0" y="0"/>
                    <a:ext cx="6676390" cy="18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00000A"/>
      <w:kern w:val="0"/>
      <w:sz w:val="22"/>
      <w:szCs w:val="22"/>
      <w:lang w:val="pt-BR" w:eastAsia="zh-CN" w:bidi="ar-SA"/>
    </w:rPr>
  </w:style>
  <w:style w:type="character" w:styleId="WW8Num1z0">
    <w:name w:val="WW8Num1z0"/>
    <w:qFormat/>
    <w:rPr>
      <w:rFonts w:ascii="Symbol" w:hAnsi="Symbol" w:cs="OpenSymbol;Arial Unicode MS"/>
      <w:color w:val="000000"/>
      <w:sz w:val="22"/>
      <w:szCs w:val="22"/>
    </w:rPr>
  </w:style>
  <w:style w:type="character" w:styleId="WW8Num1z1">
    <w:name w:val="WW8Num1z1"/>
    <w:qFormat/>
    <w:rPr>
      <w:rFonts w:ascii="OpenSymbol;Arial Unicode MS" w:hAnsi="OpenSymbol;Arial Unicode MS" w:cs="OpenSymbol;Arial Unicode MS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1z2">
    <w:name w:val="WW8Num1z2"/>
    <w:qFormat/>
    <w:rPr>
      <w:rFonts w:ascii="Wingdings" w:hAnsi="Wingdings" w:cs="Wingdings"/>
    </w:rPr>
  </w:style>
  <w:style w:type="character" w:styleId="Fontepargpadro">
    <w:name w:val="Fonte parág. padrão"/>
    <w:qFormat/>
    <w:rPr/>
  </w:style>
  <w:style w:type="character" w:styleId="Fontepargpadro2">
    <w:name w:val="Fonte parág. padrão2"/>
    <w:qFormat/>
    <w:rPr/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Fontepargpadro1">
    <w:name w:val="Fonte parág. padrão1"/>
    <w:qFormat/>
    <w:rPr/>
  </w:style>
  <w:style w:type="character" w:styleId="CabealhoChar">
    <w:name w:val="Cabeçalho Char"/>
    <w:basedOn w:val="Fontepargpadro1"/>
    <w:qFormat/>
    <w:rPr/>
  </w:style>
  <w:style w:type="character" w:styleId="RodapChar">
    <w:name w:val="Rodapé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LinkdaInternet">
    <w:name w:val="Link da Internet"/>
    <w:rPr>
      <w:color w:val="0000FF"/>
      <w:u w:val="single"/>
    </w:rPr>
  </w:style>
  <w:style w:type="character" w:styleId="RecuodecorpodetextoChar">
    <w:name w:val="Recuo de corpo de texto Char"/>
    <w:qFormat/>
    <w:rPr>
      <w:rFonts w:ascii="Arial" w:hAnsi="Arial" w:eastAsia="Times New Roman" w:cs="Arial"/>
      <w:bCs/>
      <w:sz w:val="28"/>
      <w:szCs w:val="24"/>
      <w:lang w:eastAsia="zh-CN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Nfaseforte">
    <w:name w:val="Ênfase forte"/>
    <w:qFormat/>
    <w:rPr>
      <w:b/>
      <w:bCs/>
    </w:rPr>
  </w:style>
  <w:style w:type="character" w:styleId="Marcas">
    <w:name w:val="Marcas"/>
    <w:qFormat/>
    <w:rPr>
      <w:rFonts w:ascii="OpenSymbol;Arial Unicode MS" w:hAnsi="OpenSymbol;Arial Unicode MS" w:eastAsia="OpenSymbol;Arial Unicode MS" w:cs="OpenSymbol;Arial Unicode MS"/>
    </w:rPr>
  </w:style>
  <w:style w:type="character" w:styleId="Smbolosdenumerao">
    <w:name w:val="Símbolos de numeração"/>
    <w:qFormat/>
    <w:rPr/>
  </w:style>
  <w:style w:type="character" w:styleId="A15">
    <w:name w:val="A15"/>
    <w:qFormat/>
    <w:rPr>
      <w:rFonts w:ascii="Fira Sans Book" w:hAnsi="Fira Sans Book"/>
      <w:color w:val="000000"/>
      <w:sz w:val="10"/>
    </w:rPr>
  </w:style>
  <w:style w:type="character" w:styleId="A11">
    <w:name w:val="A11"/>
    <w:qFormat/>
    <w:rPr>
      <w:rFonts w:ascii="Fira Sans SemiBold" w:hAnsi="Fira Sans SemiBold"/>
      <w:b/>
      <w:color w:val="000000"/>
      <w:sz w:val="18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tulo2">
    <w:name w:val="Título2"/>
    <w:basedOn w:val="Normal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tulo1">
    <w:name w:val="Título1"/>
    <w:basedOn w:val="Normal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spacing w:lineRule="auto" w:line="240" w:before="0" w:after="0"/>
    </w:pPr>
    <w:rPr/>
  </w:style>
  <w:style w:type="paragraph" w:styleId="Rodap">
    <w:name w:val="Footer"/>
    <w:basedOn w:val="Normal"/>
    <w:pPr>
      <w:spacing w:lineRule="auto" w:line="240" w:before="0" w:after="0"/>
    </w:pPr>
    <w:rPr/>
  </w:style>
  <w:style w:type="paragraph" w:styleId="Textodebalo">
    <w:name w:val="Texto de balão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Yiv803907752msonormal">
    <w:name w:val="yiv803907752msonormal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orpodotextorecuado">
    <w:name w:val="Body Text Indent"/>
    <w:basedOn w:val="Normal"/>
    <w:pPr>
      <w:suppressAutoHyphens w:val="true"/>
      <w:spacing w:lineRule="auto" w:line="360" w:before="0" w:after="0"/>
      <w:ind w:left="708" w:right="0" w:hanging="0"/>
      <w:jc w:val="both"/>
    </w:pPr>
    <w:rPr>
      <w:rFonts w:ascii="Arial" w:hAnsi="Arial" w:eastAsia="Times New Roman" w:cs="Arial"/>
      <w:bCs/>
      <w:sz w:val="28"/>
      <w:szCs w:val="24"/>
      <w:lang w:eastAsia="zh-CN"/>
    </w:rPr>
  </w:style>
  <w:style w:type="paragraph" w:styleId="Corpodetexto32">
    <w:name w:val="Corpo de texto 32"/>
    <w:basedOn w:val="Normal"/>
    <w:qFormat/>
    <w:pPr>
      <w:spacing w:before="0" w:after="120"/>
    </w:pPr>
    <w:rPr>
      <w:sz w:val="16"/>
      <w:szCs w:val="16"/>
    </w:rPr>
  </w:style>
  <w:style w:type="paragraph" w:styleId="Contedodoquadro">
    <w:name w:val="Conteúdo do quadro"/>
    <w:basedOn w:val="Corpodotexto"/>
    <w:qFormat/>
    <w:pPr/>
    <w:rPr/>
  </w:style>
  <w:style w:type="paragraph" w:styleId="Corpodetexto31">
    <w:name w:val="Corpo de texto 31"/>
    <w:basedOn w:val="Normal"/>
    <w:qFormat/>
    <w:pPr>
      <w:jc w:val="both"/>
    </w:pPr>
    <w:rPr>
      <w:rFonts w:ascii="Arial" w:hAnsi="Arial" w:cs="Arial"/>
      <w:sz w:val="22"/>
      <w:szCs w:val="28"/>
    </w:rPr>
  </w:style>
  <w:style w:type="paragraph" w:styleId="NormalWeb">
    <w:name w:val="Normal (Web)"/>
    <w:basedOn w:val="Normal"/>
    <w:qFormat/>
    <w:pPr>
      <w:suppressAutoHyphens w:val="false"/>
      <w:spacing w:before="280" w:after="119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Verdana" w:hAnsi="Verdana" w:eastAsia="SimSun" w:cs="Mangal"/>
      <w:color w:val="000000"/>
      <w:kern w:val="0"/>
      <w:sz w:val="24"/>
      <w:szCs w:val="24"/>
      <w:lang w:val="pt-BR" w:eastAsia="zh-CN" w:bidi="hi-IN"/>
    </w:rPr>
  </w:style>
  <w:style w:type="paragraph" w:styleId="Pa5">
    <w:name w:val="Pa5"/>
    <w:basedOn w:val="Default"/>
    <w:qFormat/>
    <w:pPr>
      <w:spacing w:lineRule="atLeast" w:line="181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jpeg"/><Relationship Id="rId2" Type="http://schemas.openxmlformats.org/officeDocument/2006/relationships/image" Target="media/image4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Application>LibreOffice/7.0.3.1$Windows_x86 LibreOffice_project/d7547858d014d4cf69878db179d326fc3483e082</Application>
  <Pages>3</Pages>
  <Words>793</Words>
  <Characters>4713</Characters>
  <CharactersWithSpaces>5513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2020-01-28T10:38:00Z</dcterms:created>
  <dc:creator>Microsoft Office User</dc:creator>
  <dc:description/>
  <dc:language>pt-BR</dc:language>
  <cp:lastModifiedBy/>
  <cp:lastPrinted>2018-04-27T10:37:00Z</cp:lastPrinted>
  <dcterms:modified xsi:type="dcterms:W3CDTF">2022-02-21T15:23:12Z</dcterms:modified>
  <cp:revision>95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